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6D1D" w14:textId="77777777" w:rsidR="00962C2E" w:rsidRDefault="00000000">
      <w:pPr>
        <w:jc w:val="center"/>
        <w:rPr>
          <w:rFonts w:cs="Times New Roman"/>
          <w:b/>
          <w:bCs/>
          <w:sz w:val="24"/>
          <w:szCs w:val="24"/>
          <w:lang w:val="pt-BR"/>
        </w:rPr>
      </w:pPr>
      <w:r>
        <w:rPr>
          <w:rFonts w:cs="Times New Roman"/>
          <w:b/>
          <w:bCs/>
          <w:sz w:val="24"/>
          <w:szCs w:val="24"/>
          <w:lang w:val="pt-BR"/>
        </w:rPr>
        <w:t>A centralidade da política de regularização fundiária na vida das mulheres</w:t>
      </w:r>
    </w:p>
    <w:p w14:paraId="3304AF34" w14:textId="77777777" w:rsidR="00962C2E" w:rsidRDefault="00962C2E">
      <w:pPr>
        <w:jc w:val="center"/>
        <w:rPr>
          <w:rFonts w:cs="Times New Roman"/>
          <w:sz w:val="24"/>
          <w:szCs w:val="24"/>
          <w:lang w:val="pt-BR"/>
        </w:rPr>
      </w:pPr>
    </w:p>
    <w:p w14:paraId="55C2242C" w14:textId="77777777" w:rsidR="00962C2E" w:rsidRDefault="00000000">
      <w:pPr>
        <w:spacing w:after="0"/>
        <w:ind w:left="3118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Quando recebi essa escritura me senti feliz porque eu não tenho condições de fazer o documento, eu sei que nunca iria fazer porque são muito caros os documentos.</w:t>
      </w:r>
    </w:p>
    <w:p w14:paraId="13F2945D" w14:textId="77777777" w:rsidR="00962C2E" w:rsidRDefault="00000000">
      <w:pPr>
        <w:spacing w:after="0"/>
        <w:ind w:left="3118"/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>Mulher com moradia regularizada em Bonito (PE)</w:t>
      </w:r>
    </w:p>
    <w:p w14:paraId="5C32683C" w14:textId="77777777" w:rsidR="00962C2E" w:rsidRDefault="00962C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14D5A555" w14:textId="77777777" w:rsidR="00962C2E" w:rsidRDefault="00962C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6334780E" w14:textId="77777777" w:rsidR="00962C2E" w:rsidRDefault="0000000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É impressionante constatar através dos relatos de algumas mudanças na vida das mulheres como a regularização fundiária tem um impacto em suas vidas na prática e a nível subjetivo. </w:t>
      </w:r>
    </w:p>
    <w:p w14:paraId="6EEEAA8B" w14:textId="77777777" w:rsidR="00962C2E" w:rsidRDefault="00962C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55118131" w14:textId="77777777" w:rsidR="00962C2E" w:rsidRDefault="0000000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O objetivo do artigo é evidenciar a urgência pela garantia e segurança da regulamentação fundiária e a defesa dos territórios como elementos estruturantes para o enfrentamento à injustiça de gênero. Confirmaremos como a regularização fundiária é uma conquista essencial para o alcance e implementação de políticas públicas em favor das mulheres, fortalecimento de redes de mulheres e luta contra desigualdades de gênero, classe e raça. </w:t>
      </w:r>
    </w:p>
    <w:p w14:paraId="1B9627D1" w14:textId="77777777" w:rsidR="00962C2E" w:rsidRDefault="00962C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6A824FCB" w14:textId="77777777" w:rsidR="00962C2E" w:rsidRDefault="0000000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Neste sentido, a metodologia utilizada pelo Espaço Feminista (EF), organização da sociedade civil fundada em 2008, com sede em Recife, serve como bússola levando à medição de impacto em diálogo com as dimensões mais importantes apontadas por organizações internacionais, ativistas e outras pessoas estudiosas do tema. Priorizamos, portanto, uma abordagem que assegura às mulheres o acesso às políticas públicas e leis; a sistematização e regularização de títulos; a governança das mulheres no que tange os recursos coletivos e individuais e o enfrentamento das múltiplas e interseccionais formas de discriminação contra as mulheres. </w:t>
      </w:r>
    </w:p>
    <w:p w14:paraId="243C1AE7" w14:textId="77777777" w:rsidR="00962C2E" w:rsidRDefault="00962C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30E0E8EF" w14:textId="77777777" w:rsidR="00962C2E" w:rsidRDefault="00000000">
      <w:pPr>
        <w:spacing w:after="0"/>
        <w:ind w:left="1701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cs="Times New Roman"/>
          <w:lang w:val="pt-BR"/>
        </w:rPr>
        <w:t>Vejo um sentimento de felicidade nas pessoas de conseguir algo que na situação financeira delas jamais conseguiriam (Mulher com moradia regularizada em Bonito (PE).</w:t>
      </w:r>
    </w:p>
    <w:p w14:paraId="3F54EA92" w14:textId="77777777" w:rsidR="00962C2E" w:rsidRDefault="00962C2E">
      <w:pPr>
        <w:ind w:left="1701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37B7C366" w14:textId="77777777" w:rsidR="00962C2E" w:rsidRDefault="00000000">
      <w:pPr>
        <w:pStyle w:val="Corpo"/>
        <w:jc w:val="both"/>
        <w:rPr>
          <w:rFonts w:asciiTheme="minorHAnsi" w:hAnsiTheme="minorHAnsi" w:cs="Times New Roman"/>
          <w:b/>
          <w:bCs/>
          <w:sz w:val="24"/>
          <w:szCs w:val="24"/>
          <w:lang w:val="pt-BR"/>
        </w:rPr>
      </w:pPr>
      <w:r>
        <w:rPr>
          <w:rFonts w:asciiTheme="minorHAnsi" w:hAnsiTheme="minorHAnsi" w:cs="Times New Roman"/>
          <w:b/>
          <w:bCs/>
          <w:sz w:val="24"/>
          <w:szCs w:val="24"/>
          <w:lang w:val="pt-BR"/>
        </w:rPr>
        <w:t>O Espaço Feminista</w:t>
      </w:r>
    </w:p>
    <w:p w14:paraId="1FCFEA29" w14:textId="77777777" w:rsidR="00962C2E" w:rsidRDefault="00962C2E">
      <w:pPr>
        <w:pStyle w:val="Corpo"/>
        <w:ind w:left="3118"/>
        <w:jc w:val="both"/>
        <w:rPr>
          <w:rFonts w:asciiTheme="minorHAnsi" w:hAnsiTheme="minorHAnsi" w:cs="Times New Roman"/>
          <w:b/>
          <w:bCs/>
          <w:lang w:val="pt-BR"/>
        </w:rPr>
      </w:pPr>
    </w:p>
    <w:p w14:paraId="0656F307" w14:textId="77777777" w:rsidR="00962C2E" w:rsidRDefault="00000000">
      <w:pPr>
        <w:pStyle w:val="Corpo"/>
        <w:ind w:left="3118"/>
        <w:jc w:val="both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t xml:space="preserve">É importante o documento porque tenho 25 anos que moro aqui e nunca tive a oportunidade de ter o documento da casa como tenho hoje. </w:t>
      </w:r>
    </w:p>
    <w:p w14:paraId="50B5F5A2" w14:textId="77777777" w:rsidR="00962C2E" w:rsidRDefault="00000000">
      <w:pPr>
        <w:pStyle w:val="Corpo"/>
        <w:ind w:left="3118"/>
        <w:jc w:val="both"/>
        <w:rPr>
          <w:rFonts w:asciiTheme="minorHAnsi" w:hAnsiTheme="minorHAnsi" w:cs="Times New Roman"/>
          <w:lang w:val="pt-BR"/>
        </w:rPr>
      </w:pPr>
      <w:r>
        <w:rPr>
          <w:rFonts w:cs="Times New Roman"/>
          <w:lang w:val="pt-BR"/>
        </w:rPr>
        <w:t>Mulher com</w:t>
      </w:r>
      <w:r>
        <w:rPr>
          <w:rFonts w:asciiTheme="minorHAnsi" w:hAnsiTheme="minorHAnsi" w:cs="Times New Roman"/>
          <w:lang w:val="pt-BR"/>
        </w:rPr>
        <w:t xml:space="preserve"> moradia regularizada em Bonito (PE)</w:t>
      </w:r>
    </w:p>
    <w:p w14:paraId="6F9D3A7D" w14:textId="77777777" w:rsidR="00962C2E" w:rsidRDefault="00962C2E">
      <w:pPr>
        <w:pStyle w:val="Corpo"/>
        <w:jc w:val="both"/>
        <w:rPr>
          <w:rFonts w:asciiTheme="minorHAnsi" w:hAnsiTheme="minorHAnsi" w:cs="Times New Roman"/>
          <w:b/>
          <w:bCs/>
          <w:sz w:val="24"/>
          <w:szCs w:val="24"/>
          <w:lang w:val="pt-BR"/>
        </w:rPr>
      </w:pPr>
    </w:p>
    <w:p w14:paraId="7DD9CA2A" w14:textId="77777777" w:rsidR="00962C2E" w:rsidRDefault="00000000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  <w:r>
        <w:rPr>
          <w:rFonts w:asciiTheme="minorHAnsi" w:hAnsiTheme="minorHAnsi" w:cs="Times New Roman"/>
          <w:sz w:val="24"/>
          <w:szCs w:val="24"/>
          <w:lang w:val="pt-BR"/>
        </w:rPr>
        <w:t xml:space="preserve">A metodologia do EF é construída em base a quatro eixos que se movimentam e dialogam entre si. O primeiro atribui a importância central </w:t>
      </w:r>
      <w:r>
        <w:rPr>
          <w:rFonts w:asciiTheme="minorHAnsi" w:hAnsiTheme="minorHAnsi" w:cs="Times New Roman"/>
          <w:sz w:val="24"/>
          <w:szCs w:val="24"/>
          <w:u w:val="single"/>
          <w:lang w:val="pt-BR"/>
        </w:rPr>
        <w:t xml:space="preserve">à questão de gênero </w:t>
      </w:r>
      <w:r>
        <w:rPr>
          <w:rFonts w:asciiTheme="minorHAnsi" w:hAnsiTheme="minorHAnsi" w:cs="Times New Roman"/>
          <w:sz w:val="24"/>
          <w:szCs w:val="24"/>
          <w:lang w:val="pt-BR"/>
        </w:rPr>
        <w:t xml:space="preserve">como meio e fim. Isso é realizado através da aliança entre ativistas líderes locais, ativistas aliadas, pesquisadoras e/ou acadêmicas para a produção e uso de dados </w:t>
      </w:r>
      <w:r>
        <w:rPr>
          <w:rFonts w:asciiTheme="minorHAnsi" w:hAnsiTheme="minorHAnsi" w:cs="Times New Roman"/>
          <w:sz w:val="24"/>
          <w:szCs w:val="24"/>
          <w:lang w:val="pt-BR"/>
        </w:rPr>
        <w:lastRenderedPageBreak/>
        <w:t xml:space="preserve">que possam medir e destacar as desigualdades de gênero atravessadas pela questão de raça e etnia. O segundo eixo se caracteriza pelo destaque dado à </w:t>
      </w:r>
      <w:r>
        <w:rPr>
          <w:rFonts w:asciiTheme="minorHAnsi" w:hAnsiTheme="minorHAnsi" w:cs="Times New Roman"/>
          <w:sz w:val="24"/>
          <w:szCs w:val="24"/>
          <w:u w:val="single"/>
          <w:lang w:val="pt-BR"/>
        </w:rPr>
        <w:t>formação política</w:t>
      </w:r>
      <w:r>
        <w:rPr>
          <w:rFonts w:asciiTheme="minorHAnsi" w:hAnsiTheme="minorHAnsi" w:cs="Times New Roman"/>
          <w:sz w:val="24"/>
          <w:szCs w:val="24"/>
          <w:lang w:val="pt-BR"/>
        </w:rPr>
        <w:t xml:space="preserve"> contínua que empodera as mulheres para atuarem como promotoras e defensoras de políticas públicas focadas sobretudo no direito das mulheres à terra. O enfoque dado para a forma como dados devem ser gerados para o monitoramento de compromissos promotores de mudanças positivas nas vidas das mulheres. O terceiro eixo é estruturado a partir de </w:t>
      </w:r>
      <w:r>
        <w:rPr>
          <w:rFonts w:asciiTheme="minorHAnsi" w:hAnsiTheme="minorHAnsi" w:cs="Times New Roman"/>
          <w:sz w:val="24"/>
          <w:szCs w:val="24"/>
          <w:u w:val="single"/>
          <w:lang w:val="pt-BR"/>
        </w:rPr>
        <w:t>alianças decisivas</w:t>
      </w:r>
      <w:r>
        <w:rPr>
          <w:rFonts w:asciiTheme="minorHAnsi" w:hAnsiTheme="minorHAnsi" w:cs="Times New Roman"/>
          <w:sz w:val="24"/>
          <w:szCs w:val="24"/>
          <w:lang w:val="pt-BR"/>
        </w:rPr>
        <w:t xml:space="preserve"> com os diversos movimentos sociais de mulheres, profissionais da área de direito, ativistas, pesquisadoras e representantes do governo para a construção de conhecimento que prima a justiça climática, racial e de gênero. O quarto eixo foca na </w:t>
      </w:r>
      <w:r>
        <w:rPr>
          <w:rFonts w:asciiTheme="minorHAnsi" w:hAnsiTheme="minorHAnsi" w:cs="Times New Roman"/>
          <w:sz w:val="24"/>
          <w:szCs w:val="24"/>
          <w:u w:val="single"/>
          <w:lang w:val="pt-BR"/>
        </w:rPr>
        <w:t>incidência política</w:t>
      </w:r>
      <w:r>
        <w:rPr>
          <w:rFonts w:asciiTheme="minorHAnsi" w:hAnsiTheme="minorHAnsi" w:cs="Times New Roman"/>
          <w:sz w:val="24"/>
          <w:szCs w:val="24"/>
          <w:lang w:val="pt-BR"/>
        </w:rPr>
        <w:t xml:space="preserve"> para influenciar diretamente na construção de políticas públicas visando mudanças a longo prazo. Para isso consideramos essencial o empoderamento de mulheres através do conhecimento e informação que transversaliza e intersecciona gênero através de uma abordagem holística, levando em consideração os aspectos culturais (eixos 1 e 2) e o trabalho coletivo</w:t>
      </w:r>
      <w:r>
        <w:rPr>
          <w:rFonts w:asciiTheme="minorHAnsi" w:hAnsiTheme="minorHAnsi" w:cs="Times New Roman"/>
          <w:sz w:val="24"/>
          <w:szCs w:val="24"/>
          <w:u w:val="single"/>
          <w:lang w:val="pt-BR"/>
        </w:rPr>
        <w:t xml:space="preserve"> </w:t>
      </w:r>
      <w:r>
        <w:rPr>
          <w:rFonts w:asciiTheme="minorHAnsi" w:hAnsiTheme="minorHAnsi" w:cs="Times New Roman"/>
          <w:sz w:val="24"/>
          <w:szCs w:val="24"/>
          <w:lang w:val="pt-BR"/>
        </w:rPr>
        <w:t>através das alianças com diversos segmentos e atoras da sociedade (eixo 3).</w:t>
      </w:r>
    </w:p>
    <w:p w14:paraId="272D97BC" w14:textId="77777777" w:rsidR="00962C2E" w:rsidRDefault="00962C2E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</w:p>
    <w:p w14:paraId="7841BD3A" w14:textId="50732AB7" w:rsidR="00962C2E" w:rsidRDefault="00000000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  <w:r>
        <w:rPr>
          <w:rFonts w:asciiTheme="minorHAnsi" w:hAnsiTheme="minorHAnsi" w:cs="Times New Roman"/>
          <w:sz w:val="24"/>
          <w:szCs w:val="24"/>
          <w:lang w:val="pt-BR"/>
        </w:rPr>
        <w:t xml:space="preserve">Desde a sua fundação o EF prioriza a garantia do direito das mulheres à terra, tendo como um dos seus focos a regularização fundiária. A atuação do EF é sempre junto às mulheres e na perspectiva da exigibilidade do direito à moradia. O trabalho é desenvolvido a partir das informações de dados do Instituto Brasileiro de Geografia e Estatística (IBGE), levantamento de diagnósticos, mapeamentos e pesquisas, ações em redes a nível local, estadual, nacional e internacional e atuação direta em comunidades de zonas urbanas e rurais, o EF vem contribuindo para a efetivação do direito das mulheres à terra e ao território. </w:t>
      </w:r>
    </w:p>
    <w:p w14:paraId="473440E9" w14:textId="77777777" w:rsidR="00434EA7" w:rsidRDefault="00434EA7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</w:p>
    <w:p w14:paraId="0D053FE7" w14:textId="77777777" w:rsidR="00962C2E" w:rsidRDefault="00000000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  <w:r>
        <w:rPr>
          <w:rFonts w:asciiTheme="minorHAnsi" w:hAnsiTheme="minorHAnsi" w:cs="Times New Roman"/>
          <w:sz w:val="24"/>
          <w:szCs w:val="24"/>
          <w:lang w:val="pt-BR"/>
        </w:rPr>
        <w:t>Trazemos aqui para destacar a importância da regularização fundiária para as mulheres o caso de Bonito, município do agreste pernambucano com baixo Índice de Desenvolvimento Humano (IDH) de 0,56; e 367.474 habitantes</w:t>
      </w:r>
      <w:r>
        <w:rPr>
          <w:rStyle w:val="Funotenzeichen"/>
          <w:rFonts w:asciiTheme="minorHAnsi" w:hAnsiTheme="minorHAnsi" w:cs="Times New Roman"/>
          <w:sz w:val="24"/>
          <w:szCs w:val="24"/>
          <w:lang w:val="pt-BR"/>
        </w:rPr>
        <w:footnoteReference w:id="1"/>
      </w:r>
      <w:r>
        <w:rPr>
          <w:rFonts w:asciiTheme="minorHAnsi" w:hAnsiTheme="minorHAnsi" w:cs="Times New Roman"/>
          <w:sz w:val="24"/>
          <w:szCs w:val="24"/>
          <w:lang w:val="pt-BR"/>
        </w:rPr>
        <w:t xml:space="preserve">. Encontra-se aproximadamente a 135 km do Recife e é composto por três distritos: Bonito (sede), Alto Alegre e Bentivi. </w:t>
      </w:r>
    </w:p>
    <w:p w14:paraId="1D712EB4" w14:textId="77777777" w:rsidR="00962C2E" w:rsidRDefault="00962C2E">
      <w:pPr>
        <w:pStyle w:val="Corpo"/>
        <w:ind w:left="1701"/>
        <w:jc w:val="both"/>
        <w:rPr>
          <w:rFonts w:asciiTheme="minorHAnsi" w:hAnsiTheme="minorHAnsi" w:cs="Times New Roman"/>
          <w:sz w:val="24"/>
          <w:szCs w:val="24"/>
          <w:lang w:val="pt-BR"/>
        </w:rPr>
      </w:pPr>
    </w:p>
    <w:p w14:paraId="1A196232" w14:textId="77777777" w:rsidR="00962C2E" w:rsidRDefault="00000000">
      <w:pPr>
        <w:ind w:left="1701"/>
        <w:jc w:val="both"/>
        <w:rPr>
          <w:lang w:val="pt-BR"/>
        </w:rPr>
      </w:pPr>
      <w:r>
        <w:rPr>
          <w:lang w:val="pt-BR"/>
        </w:rPr>
        <w:t xml:space="preserve">A grande importância de que as mulheres tenham a posse definitivamente em seu nome, no caso de Bonito 85% tem o nome da mulher – 50% somente no nome delas e 35% no nome das mulheres e homens. Isso é um caso </w:t>
      </w:r>
      <w:r>
        <w:rPr>
          <w:i/>
          <w:iCs/>
          <w:lang w:val="pt-BR"/>
        </w:rPr>
        <w:t>record</w:t>
      </w:r>
      <w:r>
        <w:rPr>
          <w:lang w:val="pt-BR"/>
        </w:rPr>
        <w:t>, um case de sucesso no qual alcançamos o objetivo maior que é deixar a mulher mais segura (Gustavo Adolfo, prefeito de Bonito).</w:t>
      </w:r>
    </w:p>
    <w:p w14:paraId="5AD8D17C" w14:textId="77777777" w:rsidR="00962C2E" w:rsidRDefault="00962C2E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</w:p>
    <w:p w14:paraId="4AE95A2A" w14:textId="77777777" w:rsidR="00962C2E" w:rsidRDefault="0000000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Através de um levantamento de dados de toda a região do Agreste pernambucano, o EF verificou que a grande maioria das pessoas em Bonito não tinha segurança da posse da terra e que essa situação afetava sobretudo as mulheres. Descobre no cartório local que muitos desses assentamentos informais tinham sido criados e autorizados pelos gestores e políticos e construídos em áreas privadas já </w:t>
      </w:r>
      <w:r>
        <w:rPr>
          <w:sz w:val="24"/>
          <w:szCs w:val="24"/>
          <w:lang w:val="pt-BR"/>
        </w:rPr>
        <w:lastRenderedPageBreak/>
        <w:t xml:space="preserve">desapropriadas pelo município. Diante da situação, instrumentalizadas por informações coletadas, a equipe do EF abre um diálogo com o município através de dois requerimentos a partir da comunidade.  O município passou a assumir o compromisso de aplicar a lei para mudar a realidade da falta de segurança fundiária e o EF capacitou a equipe técnica da prefeitura que atuaria no processo.  Além disso, foram utilizadas ferramentas tecnológicas como softwares e tablets para a coleta e armazenamento de dados. Isso foi fundamental para promover agilidade na coleta e análise de mudanças a partir da regularização fundiária - sendo medida ao longo dos anos - através da promoção efetiva de uma política global. </w:t>
      </w:r>
    </w:p>
    <w:p w14:paraId="7534C81C" w14:textId="77777777" w:rsidR="00962C2E" w:rsidRDefault="00000000">
      <w:pPr>
        <w:ind w:left="1701"/>
        <w:jc w:val="both"/>
        <w:rPr>
          <w:lang w:val="pt-BR"/>
        </w:rPr>
      </w:pPr>
      <w:r>
        <w:rPr>
          <w:lang w:val="pt-BR"/>
        </w:rPr>
        <w:t>A importância consiste em oportunizar institucionalizando o direito à moradia para as famílias, sobretudo as mulheres, como um direito fundamental através de uma emenda constitucional. Não é mais faculdade de escolha da gestão municipal realizar ou não a regularização fundiária, passou a ser sua obrigação. Oportunizar as famílias a segurança jurídica de sua permanência, garantindo o direito de sucessões a seus herdeiros, conseguir dar o imóvel em garantia se necessário para acessar recursos para a melhoria habitacional, colocar pequenos negócios. Inclusive de ter endereçamento, muitos não conseguem receber correspondências por não ter um endereço formalizado. (Tereza Borba, advogada especialista em regularização fundiária)</w:t>
      </w:r>
    </w:p>
    <w:p w14:paraId="7D63973A" w14:textId="74E2DF91" w:rsidR="00434EA7" w:rsidRDefault="00434EA7">
      <w:pPr>
        <w:spacing w:after="0"/>
        <w:jc w:val="both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083C921" wp14:editId="3B603520">
            <wp:extent cx="5391150" cy="3600450"/>
            <wp:effectExtent l="0" t="0" r="0" b="0"/>
            <wp:docPr id="6763824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B1A9F" w14:textId="77777777" w:rsidR="00434EA7" w:rsidRDefault="00434EA7">
      <w:pPr>
        <w:spacing w:after="0"/>
        <w:jc w:val="both"/>
        <w:rPr>
          <w:lang w:val="pt-BR"/>
        </w:rPr>
      </w:pPr>
    </w:p>
    <w:p w14:paraId="30C32A85" w14:textId="70AD95DC" w:rsidR="00962C2E" w:rsidRDefault="0000000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O direito da mulher à terra faz parte da Agenda 2030 dos objetivos do desenvolvimento sustentável como eixo fundamental para a justiça e empoderamento e das mulheres. A segurança da posse e propriedade da terra é, </w:t>
      </w: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lastRenderedPageBreak/>
        <w:t xml:space="preserve">portanto, passo para a garantia de e meios de subsistência e comunidades socioeconomicamente mais justos e saudáveis.  </w:t>
      </w:r>
    </w:p>
    <w:p w14:paraId="4A430E47" w14:textId="77777777" w:rsidR="00962C2E" w:rsidRDefault="00962C2E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09878B18" w14:textId="77777777" w:rsidR="00962C2E" w:rsidRDefault="00000000">
      <w:pPr>
        <w:spacing w:after="0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>Scalise e Giovarelli</w:t>
      </w:r>
      <w:r>
        <w:rPr>
          <w:rStyle w:val="Funotenzeichen"/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footnoteReference w:id="2"/>
      </w: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 indicam o investimento na terra, produção e comercialização agrícola, além dos recursos obtidos em aluguéis ou venda como parte dos benefícios econômicos. Elas consideram que o maior poder e autonomia da mulher na tomada de decisões no âmbito da família, garantia em caso de divórcio ou separação e em sua aposentadoria, além de maior participação na vida comunitária e menor risco de violência doméstica. </w:t>
      </w:r>
    </w:p>
    <w:p w14:paraId="2FEFCE45" w14:textId="77777777" w:rsidR="00962C2E" w:rsidRDefault="00962C2E">
      <w:pPr>
        <w:jc w:val="both"/>
        <w:rPr>
          <w:lang w:val="pt-BR"/>
        </w:rPr>
      </w:pPr>
    </w:p>
    <w:p w14:paraId="1DC8E989" w14:textId="77777777" w:rsidR="00962C2E" w:rsidRDefault="00000000">
      <w:pPr>
        <w:ind w:left="1701"/>
        <w:jc w:val="both"/>
        <w:rPr>
          <w:rFonts w:cs="Times New Roman"/>
          <w:sz w:val="24"/>
          <w:szCs w:val="24"/>
          <w:lang w:val="pt-BR"/>
        </w:rPr>
      </w:pPr>
      <w:r>
        <w:rPr>
          <w:lang w:val="pt-BR"/>
        </w:rPr>
        <w:tab/>
        <w:t xml:space="preserve">É importante a pessoa ter uma casa em seu nome que não seja do </w:t>
      </w:r>
      <w:r>
        <w:rPr>
          <w:lang w:val="pt-BR"/>
        </w:rPr>
        <w:tab/>
      </w:r>
      <w:r>
        <w:rPr>
          <w:lang w:val="pt-BR"/>
        </w:rPr>
        <w:tab/>
        <w:t xml:space="preserve">parceiro, para ter um pouco de segurança, como mulher ter mais </w:t>
      </w:r>
      <w:r>
        <w:rPr>
          <w:lang w:val="pt-BR"/>
        </w:rPr>
        <w:tab/>
      </w:r>
      <w:r>
        <w:rPr>
          <w:lang w:val="pt-BR"/>
        </w:rPr>
        <w:tab/>
        <w:t xml:space="preserve">segurança. Antes eu não queria ajeitar ela por conta do outro. Mas </w:t>
      </w:r>
      <w:r>
        <w:rPr>
          <w:lang w:val="pt-BR"/>
        </w:rPr>
        <w:tab/>
        <w:t xml:space="preserve">agora já tenho uma expectativa melhor para eu ajeitar a casa. Ele </w:t>
      </w:r>
      <w:r>
        <w:rPr>
          <w:lang w:val="pt-BR"/>
        </w:rPr>
        <w:tab/>
        <w:t xml:space="preserve">sempre falava, “eu vou tomar, eu vou tomar”, mas fiquei sempre na </w:t>
      </w:r>
      <w:r>
        <w:rPr>
          <w:lang w:val="pt-BR"/>
        </w:rPr>
        <w:tab/>
        <w:t xml:space="preserve">casa. Agora que vai sair em meu nome e recibo, ele agora não tem </w:t>
      </w:r>
      <w:r>
        <w:rPr>
          <w:lang w:val="pt-BR"/>
        </w:rPr>
        <w:tab/>
        <w:t xml:space="preserve">chance nenhuma de pegar ela </w:t>
      </w:r>
      <w:r>
        <w:rPr>
          <w:rFonts w:cs="Times New Roman"/>
          <w:lang w:val="pt-BR"/>
        </w:rPr>
        <w:t xml:space="preserve">(Mulher com moradia regularizada </w:t>
      </w:r>
      <w:r>
        <w:rPr>
          <w:rFonts w:cs="Times New Roman"/>
          <w:lang w:val="pt-BR"/>
        </w:rPr>
        <w:tab/>
        <w:t>em Bonito (PE).</w:t>
      </w:r>
      <w:r>
        <w:rPr>
          <w:rFonts w:cs="Times New Roman"/>
          <w:lang w:val="pt-BR"/>
        </w:rPr>
        <w:tab/>
      </w:r>
      <w:r>
        <w:rPr>
          <w:rFonts w:cs="Times New Roman"/>
          <w:lang w:val="pt-BR"/>
        </w:rPr>
        <w:tab/>
      </w:r>
    </w:p>
    <w:p w14:paraId="3FB3F6A6" w14:textId="77777777" w:rsidR="00962C2E" w:rsidRDefault="0000000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Vimos como os fatores de insegurança de posse para as mulheres advém, por vezes, do medo a agentes externos.</w:t>
      </w:r>
    </w:p>
    <w:p w14:paraId="760A1BE3" w14:textId="77777777" w:rsidR="00962C2E" w:rsidRDefault="00000000">
      <w:pPr>
        <w:ind w:left="1701"/>
        <w:jc w:val="both"/>
        <w:rPr>
          <w:lang w:val="pt-BR"/>
        </w:rPr>
      </w:pPr>
      <w:r>
        <w:rPr>
          <w:lang w:val="pt-BR"/>
        </w:rPr>
        <w:tab/>
        <w:t xml:space="preserve">A prefeita deu uns terrenos, eu consegui e passou muito tempo </w:t>
      </w:r>
      <w:r>
        <w:rPr>
          <w:lang w:val="pt-BR"/>
        </w:rPr>
        <w:tab/>
        <w:t xml:space="preserve">para eu construir. Teve gente que queria invadir e tudo. Teve uma </w:t>
      </w:r>
      <w:r>
        <w:rPr>
          <w:lang w:val="pt-BR"/>
        </w:rPr>
        <w:tab/>
        <w:t xml:space="preserve">vez que eu estava no mercado, trabalhei lá 7 anos, e meu esposo </w:t>
      </w:r>
      <w:r>
        <w:rPr>
          <w:lang w:val="pt-BR"/>
        </w:rPr>
        <w:tab/>
        <w:t xml:space="preserve">soube que estavam querendo invadir. Tinha um homem com uma </w:t>
      </w:r>
      <w:r>
        <w:rPr>
          <w:lang w:val="pt-BR"/>
        </w:rPr>
        <w:tab/>
        <w:t xml:space="preserve">enxada e tudo para limpar e avisamos que o terreno era nosso </w:t>
      </w:r>
      <w:r>
        <w:rPr>
          <w:lang w:val="pt-BR"/>
        </w:rPr>
        <w:tab/>
      </w:r>
      <w:r>
        <w:rPr>
          <w:rFonts w:cs="Times New Roman"/>
          <w:lang w:val="pt-BR"/>
        </w:rPr>
        <w:t>(Mulher com moradia regularizada em Bonito (PE).</w:t>
      </w:r>
    </w:p>
    <w:p w14:paraId="7CDCCEA5" w14:textId="77777777" w:rsidR="00962C2E" w:rsidRDefault="00000000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 mulheres beneficiadas pela regularização fundiária em Bonito mostravam-se receosas também com a ameaça de perder a posse da terra para seus próprios parentes. Vimos assim, como a documentação da propriedade contribuiu para sua segurança de poder deixar sua casa como herança. </w:t>
      </w:r>
    </w:p>
    <w:p w14:paraId="3DF08175" w14:textId="77777777" w:rsidR="00962C2E" w:rsidRDefault="00000000">
      <w:pPr>
        <w:ind w:left="1701"/>
        <w:jc w:val="both"/>
        <w:rPr>
          <w:rFonts w:cs="Times New Roman"/>
          <w:lang w:val="pt-BR"/>
        </w:rPr>
      </w:pPr>
      <w:r>
        <w:rPr>
          <w:lang w:val="pt-BR"/>
        </w:rPr>
        <w:tab/>
        <w:t xml:space="preserve">Eu falo para todo mundo aqui, quando essa casa estiver no meu </w:t>
      </w:r>
      <w:r>
        <w:rPr>
          <w:lang w:val="pt-BR"/>
        </w:rPr>
        <w:tab/>
        <w:t xml:space="preserve">nome, que ela for minha, um dia que eu morrer vocês não </w:t>
      </w:r>
      <w:r>
        <w:rPr>
          <w:lang w:val="pt-BR"/>
        </w:rPr>
        <w:tab/>
        <w:t xml:space="preserve">vendam, arrumem ela porque pode ficar para um que não puder </w:t>
      </w:r>
      <w:r>
        <w:rPr>
          <w:lang w:val="pt-BR"/>
        </w:rPr>
        <w:tab/>
        <w:t xml:space="preserve">pagar um aluguel possa ter onde morar </w:t>
      </w:r>
      <w:r>
        <w:rPr>
          <w:rFonts w:cs="Times New Roman"/>
          <w:lang w:val="pt-BR"/>
        </w:rPr>
        <w:t xml:space="preserve">(Mulher com </w:t>
      </w:r>
      <w:r>
        <w:rPr>
          <w:rFonts w:cs="Times New Roman"/>
          <w:lang w:val="pt-BR"/>
        </w:rPr>
        <w:tab/>
        <w:t>moradia regularizada em Bonito (PE).</w:t>
      </w:r>
    </w:p>
    <w:p w14:paraId="449C4D84" w14:textId="7014A750" w:rsidR="00434EA7" w:rsidRDefault="00434EA7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  <w:r>
        <w:rPr>
          <w:rFonts w:asciiTheme="minorHAnsi" w:hAnsiTheme="minorHAnsi" w:cs="Times New Roman"/>
          <w:noProof/>
          <w:sz w:val="24"/>
          <w:szCs w:val="24"/>
          <w:lang w:val="pt-BR"/>
        </w:rPr>
        <w:lastRenderedPageBreak/>
        <w:drawing>
          <wp:inline distT="0" distB="0" distL="0" distR="0" wp14:anchorId="6C3E62E3" wp14:editId="68F3E7E8">
            <wp:extent cx="5391150" cy="3600450"/>
            <wp:effectExtent l="0" t="0" r="0" b="0"/>
            <wp:docPr id="65158166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BC4B0" w14:textId="77777777" w:rsidR="00434EA7" w:rsidRDefault="00434EA7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</w:p>
    <w:p w14:paraId="68D5D839" w14:textId="3B56A103" w:rsidR="00962C2E" w:rsidRDefault="00000000">
      <w:pPr>
        <w:pStyle w:val="Corpo"/>
        <w:jc w:val="both"/>
        <w:rPr>
          <w:rFonts w:asciiTheme="minorHAnsi" w:hAnsiTheme="minorHAnsi" w:cs="Times New Roman"/>
          <w:sz w:val="24"/>
          <w:szCs w:val="24"/>
          <w:lang w:val="pt-BR"/>
        </w:rPr>
      </w:pPr>
      <w:r>
        <w:rPr>
          <w:rFonts w:asciiTheme="minorHAnsi" w:hAnsiTheme="minorHAnsi" w:cs="Times New Roman"/>
          <w:sz w:val="24"/>
          <w:szCs w:val="24"/>
          <w:lang w:val="pt-BR"/>
        </w:rPr>
        <w:t>Apesar de todo avanço normativo e institucional brasileiro, o grande desafio ainda consiste em testar a eficácia jurídica desses dispositivos, ou seja, a aplicação das leis, e assegurar o acesso ao direito à moradia à população, especialmente, às mulheres</w:t>
      </w:r>
      <w:r>
        <w:rPr>
          <w:rStyle w:val="Funotenzeichen"/>
          <w:rFonts w:asciiTheme="minorHAnsi" w:hAnsiTheme="minorHAnsi" w:cs="Times New Roman"/>
          <w:sz w:val="24"/>
          <w:szCs w:val="24"/>
          <w:lang w:val="pt-BR"/>
        </w:rPr>
        <w:footnoteReference w:id="3"/>
      </w:r>
      <w:r>
        <w:rPr>
          <w:rFonts w:asciiTheme="minorHAnsi" w:hAnsiTheme="minorHAnsi" w:cs="Times New Roman"/>
          <w:sz w:val="24"/>
          <w:szCs w:val="24"/>
          <w:lang w:val="pt-BR"/>
        </w:rPr>
        <w:t>. A implementação da política pública de regularização fundiária ainda é muito acanhada, seja pela inexpressiva destinação orçamentária e financeira dos entes da Federação, sobretudo dos municípios, seja pela falta de prioridade política, passando também pela falta de capacidade técnica e operacional das gestões públicas.</w:t>
      </w:r>
    </w:p>
    <w:p w14:paraId="6ED4F678" w14:textId="77777777" w:rsidR="00962C2E" w:rsidRDefault="00962C2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7B004BC8" w14:textId="77777777" w:rsidR="00962C2E" w:rsidRDefault="00000000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Alguns estudos e a própria experiência do EF apontam que apesar de sua inquestionável importância, a regulamentação fundiária em favor das mulheres não garante por si só o seu empoderamento e fim da violência de gênero. Além da legislação o trabalho das mulheres vai além da garantia de posse e segurança da terra. </w:t>
      </w:r>
    </w:p>
    <w:p w14:paraId="556830F7" w14:textId="77777777" w:rsidR="00962C2E" w:rsidRDefault="00962C2E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</w:pPr>
    </w:p>
    <w:p w14:paraId="192B5092" w14:textId="77777777" w:rsidR="00962C2E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0055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val="pt-BR" w:eastAsia="pt-BR"/>
          <w14:ligatures w14:val="none"/>
        </w:rPr>
        <w:t xml:space="preserve">As nossas evidências </w:t>
      </w:r>
      <w:r>
        <w:rPr>
          <w:rFonts w:cs="Times New Roman"/>
          <w:sz w:val="24"/>
          <w:szCs w:val="24"/>
          <w:lang w:val="pt-BR"/>
        </w:rPr>
        <w:t xml:space="preserve">precisam de um contínuo esforço de acompanhamento e análise. Aprendemos ao longo do tempo a identificar alguns insumos que denotam o aumento da percepção de segurança da posse da moradia; o empoderamento das mulheres; a diminuição da pobreza, aumento do capital físico, social e simbólico e a redução da violência doméstica.   </w:t>
      </w:r>
    </w:p>
    <w:sectPr w:rsidR="00962C2E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48BF" w14:textId="77777777" w:rsidR="006A085B" w:rsidRDefault="006A085B">
      <w:pPr>
        <w:spacing w:after="0" w:line="240" w:lineRule="auto"/>
      </w:pPr>
      <w:r>
        <w:separator/>
      </w:r>
    </w:p>
  </w:endnote>
  <w:endnote w:type="continuationSeparator" w:id="0">
    <w:p w14:paraId="3824AFDA" w14:textId="77777777" w:rsidR="006A085B" w:rsidRDefault="006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Helvetica Neue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C223" w14:textId="77777777" w:rsidR="006A085B" w:rsidRDefault="006A085B">
      <w:pPr>
        <w:rPr>
          <w:sz w:val="12"/>
        </w:rPr>
      </w:pPr>
      <w:r>
        <w:separator/>
      </w:r>
    </w:p>
  </w:footnote>
  <w:footnote w:type="continuationSeparator" w:id="0">
    <w:p w14:paraId="7057F8C8" w14:textId="77777777" w:rsidR="006A085B" w:rsidRDefault="006A085B">
      <w:pPr>
        <w:rPr>
          <w:sz w:val="12"/>
        </w:rPr>
      </w:pPr>
      <w:r>
        <w:continuationSeparator/>
      </w:r>
    </w:p>
  </w:footnote>
  <w:footnote w:id="1">
    <w:p w14:paraId="3DDD344C" w14:textId="77777777" w:rsidR="00962C2E" w:rsidRDefault="00000000">
      <w:pPr>
        <w:pStyle w:val="Funotentext"/>
        <w:jc w:val="both"/>
        <w:rPr>
          <w:rFonts w:ascii="Times New Roman" w:hAnsi="Times New Roman" w:cs="Times New Roman"/>
          <w:lang w:val="pt-BR"/>
        </w:rPr>
      </w:pPr>
      <w:r>
        <w:rPr>
          <w:rStyle w:val="Funotenzeichen"/>
        </w:rPr>
        <w:footnoteRef/>
      </w:r>
      <w:r>
        <w:rPr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Fonte; IBGE. Acesso em 04/04/2024: </w:t>
      </w:r>
      <w:hyperlink r:id="rId1">
        <w:r>
          <w:rPr>
            <w:rStyle w:val="Hyperlink"/>
            <w:rFonts w:ascii="Times New Roman" w:hAnsi="Times New Roman" w:cs="Times New Roman"/>
            <w:lang w:val="pt-BR"/>
          </w:rPr>
          <w:t>https://www.ibge.gov.br/cidades-e-estados/pe/bonito.html</w:t>
        </w:r>
      </w:hyperlink>
      <w:r>
        <w:rPr>
          <w:rFonts w:ascii="Times New Roman" w:hAnsi="Times New Roman" w:cs="Times New Roman"/>
          <w:lang w:val="pt-BR"/>
        </w:rPr>
        <w:t>.</w:t>
      </w:r>
    </w:p>
  </w:footnote>
  <w:footnote w:id="2">
    <w:p w14:paraId="6A2C26EA" w14:textId="77777777" w:rsidR="00962C2E" w:rsidRDefault="00000000">
      <w:pPr>
        <w:pStyle w:val="Funotentext"/>
        <w:rPr>
          <w:sz w:val="18"/>
          <w:szCs w:val="18"/>
          <w:lang w:val="pt-BR"/>
        </w:rPr>
      </w:pPr>
      <w:r>
        <w:rPr>
          <w:rStyle w:val="Funotenzeichen"/>
        </w:rPr>
        <w:footnoteRef/>
      </w:r>
      <w:r>
        <w:rPr>
          <w:sz w:val="18"/>
          <w:szCs w:val="18"/>
          <w:lang w:val="en-US"/>
        </w:rPr>
        <w:t xml:space="preserve"> Scalise and Giovarelli. What works for women´s land and property rights: what we know and what we need do know. Research </w:t>
      </w:r>
      <w:r>
        <w:rPr>
          <w:sz w:val="18"/>
          <w:szCs w:val="18"/>
          <w:lang w:val="pt-BR"/>
        </w:rPr>
        <w:t>Consortium for Resource Equity. 2020.</w:t>
      </w:r>
    </w:p>
  </w:footnote>
  <w:footnote w:id="3">
    <w:p w14:paraId="3ADDE102" w14:textId="77777777" w:rsidR="00962C2E" w:rsidRDefault="00000000">
      <w:pPr>
        <w:spacing w:after="0"/>
        <w:jc w:val="both"/>
        <w:rPr>
          <w:rFonts w:cs="Times New Roman"/>
          <w:sz w:val="18"/>
          <w:szCs w:val="18"/>
          <w:lang w:val="pt-BR"/>
        </w:rPr>
      </w:pPr>
      <w:r>
        <w:rPr>
          <w:rStyle w:val="Funotenzeichen"/>
        </w:rPr>
        <w:footnoteRef/>
      </w:r>
      <w:r>
        <w:rPr>
          <w:rFonts w:cs="Times New Roman"/>
          <w:sz w:val="18"/>
          <w:szCs w:val="18"/>
          <w:lang w:val="pt-BR"/>
        </w:rPr>
        <w:t xml:space="preserve"> Em março de 2021, a Fundação João Pinheiro (FJP) divulgou os dados do déficit habitacional brasileiro    entre 2019 e 2019, representado em 60% por mulheres vivendo em condições de moradia inadequada. É preciso agregar a essa informação a questão de raça: 63% das casas são chefiadas por mulheres negras vivendo abaixo da linha da pobreza e monoparentalidade:  61% das mães solo no Brasil são mulheres negras. Fonte: Por que o déficit habitacional brasileiro é feminino. Acesso em 01/04/2024 -  </w:t>
      </w:r>
      <w:hyperlink r:id="rId2">
        <w:r>
          <w:rPr>
            <w:rStyle w:val="Hyperlink"/>
            <w:rFonts w:cs="Times New Roman"/>
            <w:sz w:val="18"/>
            <w:szCs w:val="18"/>
            <w:lang w:val="pt-BR"/>
          </w:rPr>
          <w:t>https://www.labcidade.fau.usp.br/por-que-o-deficit-habitacional-brasileiro-e-feminino/</w:t>
        </w:r>
      </w:hyperlink>
      <w:r>
        <w:rPr>
          <w:rFonts w:cs="Times New Roman"/>
          <w:sz w:val="18"/>
          <w:szCs w:val="18"/>
          <w:lang w:val="pt-BR"/>
        </w:rPr>
        <w:t>.</w:t>
      </w:r>
    </w:p>
    <w:p w14:paraId="6D0DE92F" w14:textId="77777777" w:rsidR="00962C2E" w:rsidRDefault="00962C2E">
      <w:pPr>
        <w:pStyle w:val="Funotentext"/>
        <w:rPr>
          <w:lang w:val="pt-B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2E"/>
    <w:rsid w:val="00434EA7"/>
    <w:rsid w:val="005361D3"/>
    <w:rsid w:val="006A085B"/>
    <w:rsid w:val="009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5483"/>
  <w15:docId w15:val="{D574A9FF-286F-4373-A20A-3E7C5082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15B"/>
    <w:pPr>
      <w:spacing w:after="160" w:line="259" w:lineRule="auto"/>
    </w:pPr>
    <w:rPr>
      <w:lang w:val="es-4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0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0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0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0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0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0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0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0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76040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76040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sid w:val="0076040B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76040B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76040B"/>
    <w:rPr>
      <w:rFonts w:eastAsiaTheme="majorEastAsia" w:cstheme="majorBidi"/>
      <w:color w:val="0F4761" w:themeColor="accent1" w:themeShade="BF"/>
      <w:lang w:val="es-4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76040B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76040B"/>
    <w:rPr>
      <w:rFonts w:eastAsiaTheme="majorEastAsia" w:cstheme="majorBidi"/>
      <w:color w:val="595959" w:themeColor="text1" w:themeTint="A6"/>
      <w:lang w:val="es-4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76040B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76040B"/>
    <w:rPr>
      <w:rFonts w:eastAsiaTheme="majorEastAsia" w:cstheme="majorBidi"/>
      <w:color w:val="272727" w:themeColor="text1" w:themeTint="D8"/>
      <w:lang w:val="es-419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76040B"/>
    <w:rPr>
      <w:rFonts w:asciiTheme="majorHAnsi" w:eastAsiaTheme="majorEastAsia" w:hAnsiTheme="majorHAnsi" w:cstheme="majorBidi"/>
      <w:spacing w:val="-10"/>
      <w:kern w:val="2"/>
      <w:sz w:val="56"/>
      <w:szCs w:val="56"/>
      <w:lang w:val="es-419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76040B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76040B"/>
    <w:rPr>
      <w:i/>
      <w:iCs/>
      <w:color w:val="404040" w:themeColor="text1" w:themeTint="BF"/>
      <w:lang w:val="es-419"/>
    </w:rPr>
  </w:style>
  <w:style w:type="character" w:styleId="IntensiveHervorhebung">
    <w:name w:val="Intense Emphasis"/>
    <w:basedOn w:val="Absatz-Standardschriftart"/>
    <w:uiPriority w:val="21"/>
    <w:qFormat/>
    <w:rsid w:val="0076040B"/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76040B"/>
    <w:rPr>
      <w:i/>
      <w:iCs/>
      <w:color w:val="0F4761" w:themeColor="accent1" w:themeShade="BF"/>
      <w:lang w:val="es-419"/>
    </w:rPr>
  </w:style>
  <w:style w:type="character" w:styleId="IntensiverVerweis">
    <w:name w:val="Intense Reference"/>
    <w:basedOn w:val="Absatz-Standardschriftart"/>
    <w:uiPriority w:val="32"/>
    <w:qFormat/>
    <w:rsid w:val="0076040B"/>
    <w:rPr>
      <w:b/>
      <w:bCs/>
      <w:smallCaps/>
      <w:color w:val="0F4761" w:themeColor="accent1" w:themeShade="BF"/>
      <w:spacing w:val="5"/>
    </w:rPr>
  </w:style>
  <w:style w:type="character" w:customStyle="1" w:styleId="m5504770017768609391apple-converted-space">
    <w:name w:val="m_5504770017768609391apple-converted-space"/>
    <w:basedOn w:val="Absatz-Standardschriftart"/>
    <w:qFormat/>
    <w:rsid w:val="0076040B"/>
  </w:style>
  <w:style w:type="character" w:customStyle="1" w:styleId="FunotentextZchn">
    <w:name w:val="Fußnotentext Zchn"/>
    <w:basedOn w:val="Absatz-Standardschriftart"/>
    <w:link w:val="Funotentext"/>
    <w:uiPriority w:val="99"/>
    <w:qFormat/>
    <w:rsid w:val="00925D4F"/>
    <w:rPr>
      <w:sz w:val="20"/>
      <w:szCs w:val="20"/>
      <w:lang w:val="es-419"/>
    </w:rPr>
  </w:style>
  <w:style w:type="character" w:styleId="Funotenzeichen">
    <w:name w:val="footnote referenc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9315C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9315C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BC500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BC500A"/>
    <w:rPr>
      <w:sz w:val="20"/>
      <w:szCs w:val="20"/>
      <w:lang w:val="es-419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BC500A"/>
    <w:rPr>
      <w:b/>
      <w:bCs/>
      <w:sz w:val="20"/>
      <w:szCs w:val="20"/>
      <w:lang w:val="es-419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432BD1"/>
    <w:rPr>
      <w:sz w:val="20"/>
      <w:szCs w:val="20"/>
      <w:lang w:val="es-419"/>
    </w:rPr>
  </w:style>
  <w:style w:type="character" w:styleId="Endnotenzeichen">
    <w:name w:val="endnote reference"/>
    <w:rPr>
      <w:vertAlign w:val="superscrip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Titel">
    <w:name w:val="Title"/>
    <w:basedOn w:val="Standard"/>
    <w:next w:val="Standard"/>
    <w:link w:val="TitelZchn"/>
    <w:uiPriority w:val="10"/>
    <w:qFormat/>
    <w:rsid w:val="00760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0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6040B"/>
    <w:pPr>
      <w:spacing w:before="160"/>
      <w:jc w:val="center"/>
    </w:pPr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6040B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0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StandardWeb">
    <w:name w:val="Normal (Web)"/>
    <w:basedOn w:val="Standard"/>
    <w:uiPriority w:val="99"/>
    <w:semiHidden/>
    <w:unhideWhenUsed/>
    <w:qFormat/>
    <w:rsid w:val="00802CC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  <w14:ligatures w14:val="none"/>
    </w:rPr>
  </w:style>
  <w:style w:type="paragraph" w:styleId="Funotentext">
    <w:name w:val="footnote text"/>
    <w:basedOn w:val="Standard"/>
    <w:link w:val="FunotentextZchn"/>
    <w:uiPriority w:val="99"/>
    <w:unhideWhenUsed/>
    <w:rsid w:val="00925D4F"/>
    <w:pPr>
      <w:spacing w:after="0" w:line="240" w:lineRule="auto"/>
    </w:pPr>
    <w:rPr>
      <w:sz w:val="20"/>
      <w:szCs w:val="20"/>
    </w:rPr>
  </w:style>
  <w:style w:type="paragraph" w:customStyle="1" w:styleId="Corpo">
    <w:name w:val="Corpo"/>
    <w:qFormat/>
    <w:rsid w:val="00396E94"/>
    <w:rPr>
      <w:rFonts w:ascii="Helvetica Neue" w:eastAsia="Arial Unicode MS" w:hAnsi="Helvetica Neue" w:cs="Arial Unicode MS"/>
      <w:color w:val="000000"/>
      <w:kern w:val="0"/>
      <w:lang w:val="pt-PT" w:eastAsia="pt-BR"/>
      <w14:ligatures w14:val="non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BC500A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BC500A"/>
    <w:rPr>
      <w:b/>
      <w:bCs/>
    </w:rPr>
  </w:style>
  <w:style w:type="paragraph" w:styleId="berarbeitung">
    <w:name w:val="Revision"/>
    <w:uiPriority w:val="99"/>
    <w:semiHidden/>
    <w:qFormat/>
    <w:rsid w:val="00BF2FB2"/>
    <w:rPr>
      <w:lang w:val="es-419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32BD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bcidade.fau.usp.br/por-que-o-deficit-habitacional-brasileiro-e-feminino/" TargetMode="External"/><Relationship Id="rId1" Type="http://schemas.openxmlformats.org/officeDocument/2006/relationships/hyperlink" Target="https://www.ibge.gov.br/cidades-e-estados/pe/bonito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F8F6-9BC1-4BD2-AA2A-4B29E65D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 Alvarez</dc:creator>
  <dc:description/>
  <cp:lastModifiedBy>Kooperation Brasilien</cp:lastModifiedBy>
  <cp:revision>52</cp:revision>
  <cp:lastPrinted>2024-04-01T17:18:00Z</cp:lastPrinted>
  <dcterms:created xsi:type="dcterms:W3CDTF">2024-04-13T14:39:00Z</dcterms:created>
  <dcterms:modified xsi:type="dcterms:W3CDTF">2024-07-09T10:26:00Z</dcterms:modified>
  <dc:language>de-DE</dc:language>
</cp:coreProperties>
</file>